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26" w:rsidRDefault="00F11826" w:rsidP="00F11826">
      <w:pPr>
        <w:pStyle w:val="s4-wptoptable1"/>
        <w:pBdr>
          <w:bottom w:val="single" w:sz="24" w:space="0" w:color="F28705"/>
        </w:pBdr>
        <w:spacing w:before="0" w:beforeAutospacing="0" w:after="150" w:afterAutospacing="0"/>
        <w:ind w:left="105" w:right="105"/>
        <w:outlineLvl w:val="2"/>
        <w:rPr>
          <w:rFonts w:ascii="Helvetica" w:hAnsi="Helvetica" w:cs="Helvetica"/>
          <w:smallCaps/>
          <w:color w:val="004C97"/>
          <w:spacing w:val="-15"/>
          <w:kern w:val="36"/>
          <w:sz w:val="48"/>
          <w:szCs w:val="48"/>
        </w:rPr>
      </w:pPr>
      <w:r>
        <w:rPr>
          <w:rFonts w:ascii="Helvetica" w:hAnsi="Helvetica" w:cs="Helvetica"/>
          <w:smallCaps/>
          <w:color w:val="004C97"/>
          <w:spacing w:val="-15"/>
          <w:kern w:val="36"/>
          <w:sz w:val="48"/>
          <w:szCs w:val="48"/>
        </w:rPr>
        <w:t>FFA Statistics</w:t>
      </w:r>
    </w:p>
    <w:p w:rsidR="00F11826" w:rsidRDefault="00F11826" w:rsidP="00F11826">
      <w:pPr>
        <w:pStyle w:val="s4-wptoptable1"/>
        <w:pBdr>
          <w:bottom w:val="single" w:sz="24" w:space="0" w:color="F28705"/>
        </w:pBdr>
        <w:spacing w:before="0" w:beforeAutospacing="0" w:after="150" w:afterAutospacing="0"/>
        <w:ind w:left="105" w:right="105"/>
        <w:outlineLvl w:val="2"/>
        <w:rPr>
          <w:rFonts w:ascii="Verdana" w:hAnsi="Verdana" w:cs="Helvetica"/>
          <w:b/>
          <w:bCs/>
          <w:color w:val="555555"/>
          <w:sz w:val="27"/>
          <w:szCs w:val="27"/>
        </w:rPr>
      </w:pPr>
      <w:r>
        <w:rPr>
          <w:rFonts w:ascii="Verdana" w:hAnsi="Verdana" w:cs="Helvetica"/>
          <w:b/>
          <w:bCs/>
          <w:color w:val="555555"/>
          <w:sz w:val="27"/>
          <w:szCs w:val="27"/>
        </w:rPr>
        <w:t>MEMBERSHIP</w:t>
      </w:r>
      <w:r>
        <w:rPr>
          <w:rFonts w:ascii="Arial" w:hAnsi="Arial" w:cs="Arial"/>
          <w:b/>
          <w:bCs/>
          <w:color w:val="555555"/>
          <w:sz w:val="27"/>
          <w:szCs w:val="27"/>
        </w:rPr>
        <w:t>​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Today, there are 579,678 FFA members, aged 12‒21, in 7,570 chapters in all 50 states, Puerto Rico and the U.S. Virgin Islands.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44% of FFA members are female; women hold approximately 50% of state leadership positions.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67% of our membership is White; 22% is Hispanic/Latino; 8% is Black/African-American or American Indian; and 3% Asian, Pacific Islander or two or more races.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5% of FFA members are currently enrolled in grades 7-8; 91% of FFA members are currently enrolled in grades 9-12; 4% have already graduated from high school and may be engaged in postsecondary studies.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FFA chapters are in 18 of the 20 largest U.S. cities, including New York, Chicago and Philadelphia.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The top five membership states are Texas, California, Georgia, Missouri and Oklahoma.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The 2012 National FFA Convention was host to 56,167 members, FFA advisors and FFA supporters.</w:t>
      </w:r>
    </w:p>
    <w:p w:rsidR="00F11826" w:rsidRDefault="00F11826" w:rsidP="00F11826">
      <w:pPr>
        <w:pStyle w:val="s4-wptoptable1"/>
        <w:numPr>
          <w:ilvl w:val="0"/>
          <w:numId w:val="1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2012-13 National FFA Organization membership by states: (</w:t>
      </w:r>
      <w:hyperlink r:id="rId6" w:tooltip="National FFA Organization Membership by States English" w:history="1">
        <w:r>
          <w:rPr>
            <w:rFonts w:ascii="Verdana" w:hAnsi="Verdana" w:cs="Helvetica"/>
            <w:color w:val="0072BC"/>
            <w:sz w:val="18"/>
            <w:szCs w:val="18"/>
          </w:rPr>
          <w:t>English</w:t>
        </w:r>
      </w:hyperlink>
      <w:r>
        <w:rPr>
          <w:rFonts w:ascii="Verdana" w:hAnsi="Verdana" w:cs="Helvetica"/>
          <w:color w:val="555555"/>
          <w:sz w:val="18"/>
          <w:szCs w:val="18"/>
        </w:rPr>
        <w:t>) (</w:t>
      </w:r>
      <w:hyperlink r:id="rId7" w:tooltip="National FFA Organization Membership by States Spanish" w:history="1">
        <w:r>
          <w:rPr>
            <w:rFonts w:ascii="Verdana" w:hAnsi="Verdana" w:cs="Helvetica"/>
            <w:color w:val="0072BC"/>
            <w:sz w:val="18"/>
            <w:szCs w:val="18"/>
          </w:rPr>
          <w:t>Spanish</w:t>
        </w:r>
      </w:hyperlink>
      <w:r>
        <w:rPr>
          <w:rFonts w:ascii="Verdana" w:hAnsi="Verdana" w:cs="Helvetica"/>
          <w:color w:val="555555"/>
          <w:sz w:val="18"/>
          <w:szCs w:val="18"/>
        </w:rPr>
        <w:t>)</w:t>
      </w:r>
    </w:p>
    <w:p w:rsidR="00F11826" w:rsidRDefault="00F11826" w:rsidP="00F11826">
      <w:pPr>
        <w:pStyle w:val="s4-wptoptable1"/>
        <w:spacing w:before="0" w:beforeAutospacing="0" w:after="0" w:afterAutospacing="0"/>
        <w:rPr>
          <w:rFonts w:ascii="Verdana" w:hAnsi="Verdana" w:cs="Helvetica"/>
          <w:color w:val="555555"/>
          <w:sz w:val="18"/>
          <w:szCs w:val="18"/>
        </w:rPr>
      </w:pPr>
    </w:p>
    <w:p w:rsidR="00F11826" w:rsidRDefault="00F11826" w:rsidP="00F11826">
      <w:pPr>
        <w:pStyle w:val="s4-wptoptable1"/>
        <w:pBdr>
          <w:bottom w:val="single" w:sz="24" w:space="0" w:color="F28705"/>
        </w:pBdr>
        <w:spacing w:before="0" w:beforeAutospacing="0" w:after="150" w:afterAutospacing="0"/>
        <w:ind w:left="105" w:right="105"/>
        <w:outlineLvl w:val="2"/>
        <w:rPr>
          <w:rFonts w:ascii="Verdana" w:hAnsi="Verdana" w:cs="Helvetica"/>
          <w:b/>
          <w:bCs/>
          <w:color w:val="555555"/>
          <w:sz w:val="27"/>
          <w:szCs w:val="27"/>
        </w:rPr>
      </w:pPr>
      <w:r>
        <w:rPr>
          <w:rFonts w:ascii="Verdana" w:hAnsi="Verdana" w:cs="Helvetica"/>
          <w:b/>
          <w:bCs/>
          <w:color w:val="555555"/>
          <w:sz w:val="27"/>
          <w:szCs w:val="27"/>
        </w:rPr>
        <w:t>EDUCATION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More than 11,000 FFA advisors and agriculture teachers deliver an integrated model of agricultural education providing students with innovative and leading-edge education, enabling them to grow into competent leaders.</w:t>
      </w:r>
    </w:p>
    <w:p w:rsidR="00F11826" w:rsidRDefault="00F11826" w:rsidP="00F11826">
      <w:pPr>
        <w:pStyle w:val="s4-wptoptable1"/>
        <w:numPr>
          <w:ilvl w:val="0"/>
          <w:numId w:val="2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92% offer </w:t>
      </w:r>
      <w:proofErr w:type="spellStart"/>
      <w:r>
        <w:rPr>
          <w:rFonts w:ascii="Verdana" w:hAnsi="Verdana" w:cs="Helvetica"/>
          <w:color w:val="555555"/>
          <w:sz w:val="18"/>
          <w:szCs w:val="18"/>
        </w:rPr>
        <w:t>agriscience</w:t>
      </w:r>
      <w:proofErr w:type="spellEnd"/>
      <w:r>
        <w:rPr>
          <w:rFonts w:ascii="Verdana" w:hAnsi="Verdana" w:cs="Helvetica"/>
          <w:color w:val="555555"/>
          <w:sz w:val="18"/>
          <w:szCs w:val="18"/>
        </w:rPr>
        <w:t xml:space="preserve">; 71% offer advanced </w:t>
      </w:r>
      <w:proofErr w:type="spellStart"/>
      <w:r>
        <w:rPr>
          <w:rFonts w:ascii="Verdana" w:hAnsi="Verdana" w:cs="Helvetica"/>
          <w:color w:val="555555"/>
          <w:sz w:val="18"/>
          <w:szCs w:val="18"/>
        </w:rPr>
        <w:t>agriscience</w:t>
      </w:r>
      <w:proofErr w:type="spellEnd"/>
      <w:r>
        <w:rPr>
          <w:rFonts w:ascii="Verdana" w:hAnsi="Verdana" w:cs="Helvetica"/>
          <w:color w:val="555555"/>
          <w:sz w:val="18"/>
          <w:szCs w:val="18"/>
        </w:rPr>
        <w:t xml:space="preserve"> and biotechnology; 59% offer agricultural mechanics; 49% offer horticulture; 43% offer animal science; and 24% offer environment-related</w:t>
      </w:r>
    </w:p>
    <w:p w:rsidR="00F11826" w:rsidRDefault="00F11826" w:rsidP="00F11826">
      <w:pPr>
        <w:pStyle w:val="s4-wptoptable1"/>
        <w:numPr>
          <w:ilvl w:val="0"/>
          <w:numId w:val="2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23% of teachers have five or fewer years of teaching experience</w:t>
      </w:r>
    </w:p>
    <w:p w:rsidR="00F11826" w:rsidRDefault="00F11826" w:rsidP="00F11826">
      <w:pPr>
        <w:pStyle w:val="s4-wptoptable1"/>
        <w:numPr>
          <w:ilvl w:val="0"/>
          <w:numId w:val="2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The shortage of qualified agriculture teachers is the greatest challenge facing FFA and agricultural education</w:t>
      </w:r>
    </w:p>
    <w:p w:rsidR="00F11826" w:rsidRDefault="00F11826" w:rsidP="00F11826">
      <w:pPr>
        <w:pStyle w:val="s4-wptoptable1"/>
        <w:pBdr>
          <w:bottom w:val="single" w:sz="24" w:space="0" w:color="F28705"/>
        </w:pBdr>
        <w:spacing w:before="0" w:beforeAutospacing="0" w:after="150" w:afterAutospacing="0"/>
        <w:ind w:left="105" w:right="105"/>
        <w:outlineLvl w:val="2"/>
        <w:rPr>
          <w:rFonts w:ascii="Verdana" w:hAnsi="Verdana" w:cs="Helvetica"/>
          <w:b/>
          <w:bCs/>
          <w:color w:val="555555"/>
          <w:sz w:val="27"/>
          <w:szCs w:val="27"/>
        </w:rPr>
      </w:pPr>
      <w:r>
        <w:rPr>
          <w:rFonts w:ascii="Verdana" w:hAnsi="Verdana" w:cs="Helvetica"/>
          <w:b/>
          <w:bCs/>
          <w:color w:val="555555"/>
          <w:sz w:val="27"/>
          <w:szCs w:val="27"/>
        </w:rPr>
        <w:t>CAREER EXPLORATION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lastRenderedPageBreak/>
        <w:t>FFA classroom activities include math and science as well as hands-on work experience and the development of life skills, helping members discover their career path and realize success.</w:t>
      </w:r>
    </w:p>
    <w:p w:rsidR="00F11826" w:rsidRDefault="00F11826" w:rsidP="00F11826">
      <w:pPr>
        <w:pStyle w:val="s4-wptoptable1"/>
        <w:numPr>
          <w:ilvl w:val="0"/>
          <w:numId w:val="3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Collectively, FFA members earn more than $4 billion annually through their hands-on work experience.</w:t>
      </w:r>
    </w:p>
    <w:p w:rsidR="00F11826" w:rsidRDefault="00F11826" w:rsidP="00F11826">
      <w:pPr>
        <w:pStyle w:val="s4-wptoptable1"/>
        <w:numPr>
          <w:ilvl w:val="0"/>
          <w:numId w:val="3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Members participate and learn advanced career skills in 49 national proficiency areas based on their hands-on work experiences ranging from agricultural communications and food science and technology to turf grass management and wildlife production and management.</w:t>
      </w:r>
    </w:p>
    <w:p w:rsidR="00F11826" w:rsidRDefault="00F11826" w:rsidP="00F11826">
      <w:pPr>
        <w:pStyle w:val="s4-wptoptable1"/>
        <w:numPr>
          <w:ilvl w:val="0"/>
          <w:numId w:val="3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According to the student magazine readership study, 87% of our students are interested in learning about career exploration, 81% about college preparation and 81% about technology.</w:t>
      </w:r>
    </w:p>
    <w:p w:rsidR="00F11826" w:rsidRDefault="00F11826" w:rsidP="00F11826">
      <w:pPr>
        <w:pStyle w:val="s4-wptoptable1"/>
        <w:numPr>
          <w:ilvl w:val="0"/>
          <w:numId w:val="3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Through 24 national career development events and one activity, FFA members are challenged to real-life, hands-on tests of skills used to prepare them for more than 300 careers in the agriculture industry.</w:t>
      </w:r>
    </w:p>
    <w:p w:rsidR="00F11826" w:rsidRDefault="00F11826" w:rsidP="00F11826">
      <w:pPr>
        <w:pStyle w:val="s4-wptoptable1"/>
        <w:pBdr>
          <w:bottom w:val="single" w:sz="24" w:space="0" w:color="F28705"/>
        </w:pBdr>
        <w:spacing w:before="0" w:beforeAutospacing="0" w:after="150" w:afterAutospacing="0"/>
        <w:ind w:left="105" w:right="105"/>
        <w:outlineLvl w:val="2"/>
        <w:rPr>
          <w:rFonts w:ascii="Verdana" w:hAnsi="Verdana" w:cs="Helvetica"/>
          <w:b/>
          <w:bCs/>
          <w:color w:val="555555"/>
          <w:sz w:val="27"/>
          <w:szCs w:val="27"/>
        </w:rPr>
      </w:pPr>
      <w:r>
        <w:rPr>
          <w:rFonts w:ascii="Verdana" w:hAnsi="Verdana" w:cs="Helvetica"/>
          <w:b/>
          <w:bCs/>
          <w:color w:val="555555"/>
          <w:sz w:val="27"/>
          <w:szCs w:val="27"/>
        </w:rPr>
        <w:t>INDUSTRY SUPPORT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Agriculture is the nation’s largest employer, with more than 23 million jobs (17 percent of the civilian workforce) involved in some facet of American agriculture.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The National FFA Foundation has raised more than $249 million for the National FFA Organization since 1944.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Over 3,000 sponsors provided more than $17 million for FFA and agricultural programs and activities in 2012.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In 2013, 127 sponsors provided 1,726 individual scholarships worth over $2.1 million through the National FFA Organization.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To date, more than $36 million in FFA collegiate scholarships have been awarded to students pursuing higher education.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In 2012, American FFA Degree recipients earned and productively invested a total of $103 million through their supervised agricultural experience programs.</w:t>
      </w:r>
    </w:p>
    <w:p w:rsidR="00F11826" w:rsidRDefault="00F11826" w:rsidP="00F11826">
      <w:pPr>
        <w:pStyle w:val="s4-wptoptable1"/>
        <w:numPr>
          <w:ilvl w:val="0"/>
          <w:numId w:val="4"/>
        </w:numPr>
        <w:spacing w:line="420" w:lineRule="auto"/>
        <w:rPr>
          <w:rFonts w:ascii="Verdana" w:hAnsi="Verdana" w:cs="Helvetica"/>
          <w:color w:val="555555"/>
          <w:sz w:val="18"/>
          <w:szCs w:val="18"/>
        </w:rPr>
      </w:pPr>
      <w:r>
        <w:rPr>
          <w:rFonts w:ascii="Verdana" w:hAnsi="Verdana" w:cs="Helvetica"/>
          <w:color w:val="555555"/>
          <w:sz w:val="18"/>
          <w:szCs w:val="18"/>
        </w:rPr>
        <w:t>At the National FFA Convention and Expo, the exhibit halls utilize more than 225,000 net square feet, attracting more than 400 exhibitors and vendors.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jc w:val="center"/>
        <w:rPr>
          <w:rFonts w:ascii="Verdana" w:hAnsi="Verdana" w:cs="Helvetica"/>
          <w:color w:val="555555"/>
          <w:sz w:val="18"/>
          <w:szCs w:val="18"/>
        </w:rPr>
      </w:pPr>
      <w:r>
        <w:rPr>
          <w:rStyle w:val="Emphasis"/>
          <w:rFonts w:ascii="Verdana" w:hAnsi="Verdana" w:cs="Helvetica"/>
          <w:color w:val="555555"/>
          <w:sz w:val="18"/>
          <w:szCs w:val="18"/>
        </w:rPr>
        <w:t>Last Update: October 2013</w:t>
      </w:r>
    </w:p>
    <w:p w:rsidR="00F11826" w:rsidRDefault="00F11826" w:rsidP="00F11826">
      <w:pPr>
        <w:pStyle w:val="s4-wptoptable1"/>
        <w:spacing w:before="0" w:beforeAutospacing="0" w:after="300" w:afterAutospacing="0" w:line="348" w:lineRule="auto"/>
        <w:ind w:left="105" w:right="105"/>
        <w:jc w:val="center"/>
        <w:rPr>
          <w:rFonts w:ascii="Verdana" w:hAnsi="Verdana" w:cs="Helvetica"/>
          <w:color w:val="555555"/>
          <w:sz w:val="18"/>
          <w:szCs w:val="18"/>
        </w:rPr>
      </w:pPr>
      <w:r>
        <w:rPr>
          <w:rStyle w:val="Emphasis"/>
          <w:rFonts w:ascii="Verdana" w:hAnsi="Verdana" w:cs="Helvetica"/>
          <w:color w:val="555555"/>
          <w:sz w:val="18"/>
          <w:szCs w:val="18"/>
        </w:rPr>
        <w:t>This page is updated once a year when our annual membership is calculated</w:t>
      </w:r>
      <w:proofErr w:type="gramStart"/>
      <w:r>
        <w:rPr>
          <w:rStyle w:val="Emphasis"/>
          <w:rFonts w:ascii="Verdana" w:hAnsi="Verdana" w:cs="Helvetica"/>
          <w:color w:val="555555"/>
          <w:sz w:val="18"/>
          <w:szCs w:val="18"/>
        </w:rPr>
        <w:t>.</w:t>
      </w:r>
      <w:r>
        <w:rPr>
          <w:rStyle w:val="Emphasis"/>
          <w:rFonts w:ascii="Verdana" w:hAnsi="Verdana" w:cs="Helvetica"/>
          <w:color w:val="555555"/>
          <w:sz w:val="18"/>
          <w:szCs w:val="18"/>
        </w:rPr>
        <w:t>(</w:t>
      </w:r>
      <w:proofErr w:type="gramEnd"/>
      <w:r>
        <w:rPr>
          <w:rStyle w:val="Emphasis"/>
          <w:rFonts w:ascii="Verdana" w:hAnsi="Verdana" w:cs="Helvetica"/>
          <w:color w:val="555555"/>
          <w:sz w:val="18"/>
          <w:szCs w:val="18"/>
        </w:rPr>
        <w:t>from ffa.org)</w:t>
      </w:r>
      <w:bookmarkStart w:id="0" w:name="_GoBack"/>
      <w:bookmarkEnd w:id="0"/>
    </w:p>
    <w:p w:rsidR="00523C9F" w:rsidRDefault="00523C9F"/>
    <w:sectPr w:rsidR="0052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10CB5C2F"/>
    <w:multiLevelType w:val="multilevel"/>
    <w:tmpl w:val="816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5BE3"/>
    <w:multiLevelType w:val="multilevel"/>
    <w:tmpl w:val="E04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D1F2B"/>
    <w:multiLevelType w:val="multilevel"/>
    <w:tmpl w:val="FDF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E1F8F"/>
    <w:multiLevelType w:val="multilevel"/>
    <w:tmpl w:val="C562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6"/>
    <w:rsid w:val="0031752F"/>
    <w:rsid w:val="00523C9F"/>
    <w:rsid w:val="00F1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-wptoptable1">
    <w:name w:val="s4-wptoptable1"/>
    <w:basedOn w:val="Normal"/>
    <w:rsid w:val="00F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8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-wptoptable1">
    <w:name w:val="s4-wptoptable1"/>
    <w:basedOn w:val="Normal"/>
    <w:rsid w:val="00F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15" w:color="CCCCCC"/>
                        <w:right w:val="single" w:sz="6" w:space="0" w:color="CCCCCC"/>
                      </w:divBdr>
                      <w:divsChild>
                        <w:div w:id="1035229650">
                          <w:marLeft w:val="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fa.org/documents/ffa_membership_2013_e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.org/documents/ffa_membership_2013_e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TumbleTeam</dc:creator>
  <cp:lastModifiedBy>TumbleTeam</cp:lastModifiedBy>
  <cp:revision>2</cp:revision>
  <dcterms:created xsi:type="dcterms:W3CDTF">2014-08-13T02:38:00Z</dcterms:created>
  <dcterms:modified xsi:type="dcterms:W3CDTF">2014-08-13T03:15:00Z</dcterms:modified>
</cp:coreProperties>
</file>